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16. ІНФОРМАЦІЯ ПРО ОТРИМАННЯ ДОЗВОЛУ ДЛЯ ОЗНАЙОМЛЕННЯ З НЕЮ ГРОМАДСЬКОСТІ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Повне та скорочене найменування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господарювання</w:t>
      </w:r>
      <w:r>
        <w:rPr>
          <w:sz w:val="26"/>
          <w:szCs w:val="26"/>
          <w:lang w:val="uk-UA"/>
        </w:rPr>
        <w:t xml:space="preserve"> – ТОВАРИСТВО З ОБМЕЖЕНОЮ ВІДПОВІДАЛЬНСТЮ «СІЛЬСЬКОГОСПОДАРСЬКЕ ПІДПРИЄМСТВО «АГРОДІМ.».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Ідентифікаційний код юридичної особи в Єдиному державному реєстрі підприємств та організацій України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44269128.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господарюванння</w:t>
      </w:r>
      <w:r>
        <w:rPr>
          <w:b/>
          <w:i/>
          <w:sz w:val="26"/>
          <w:szCs w:val="26"/>
          <w:lang w:val="uk-UA"/>
        </w:rPr>
        <w:t xml:space="preserve">, контактний номер телефону, адреса електронної пошти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16520, Чернігівська обл., Ніжинський р-н, с. Городище, вул. Перемоги, 79; тел.+38 046 294 20 60, e-</w:t>
      </w:r>
      <w:r>
        <w:rPr>
          <w:sz w:val="26"/>
          <w:szCs w:val="26"/>
          <w:lang w:val="uk-UA"/>
        </w:rPr>
        <w:t xml:space="preserve">mail</w:t>
      </w:r>
      <w:r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en-US"/>
        </w:rPr>
        <w:t xml:space="preserve">info</w:t>
      </w:r>
      <w:r>
        <w:rPr>
          <w:sz w:val="26"/>
          <w:szCs w:val="26"/>
          <w:lang w:val="uk-UA"/>
        </w:rPr>
        <w:t xml:space="preserve">@</w:t>
      </w:r>
      <w:r>
        <w:rPr>
          <w:sz w:val="26"/>
          <w:szCs w:val="26"/>
          <w:lang w:val="en-US"/>
        </w:rPr>
        <w:t xml:space="preserve">agrodim</w:t>
      </w:r>
      <w:r>
        <w:rPr>
          <w:sz w:val="26"/>
          <w:szCs w:val="26"/>
          <w:lang w:val="uk-UA"/>
        </w:rPr>
        <w:t xml:space="preserve">.</w:t>
      </w:r>
      <w:r>
        <w:rPr>
          <w:sz w:val="26"/>
          <w:szCs w:val="26"/>
          <w:lang w:val="en-US"/>
        </w:rPr>
        <w:t xml:space="preserve">in</w:t>
      </w:r>
      <w:r>
        <w:rPr>
          <w:sz w:val="26"/>
          <w:szCs w:val="26"/>
          <w:lang w:val="uk-UA"/>
        </w:rPr>
        <w:t xml:space="preserve">.</w:t>
      </w:r>
      <w:r>
        <w:rPr>
          <w:sz w:val="26"/>
          <w:szCs w:val="26"/>
          <w:lang w:val="en-US"/>
        </w:rPr>
        <w:t xml:space="preserve">ua</w:t>
      </w:r>
      <w:r>
        <w:rPr>
          <w:sz w:val="26"/>
          <w:szCs w:val="26"/>
          <w:lang w:val="uk-UA"/>
        </w:rPr>
        <w:t xml:space="preserve">;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об'єкта / промислов</w:t>
      </w:r>
      <w:bookmarkStart w:id="0" w:name="_GoBack"/>
      <w:r/>
      <w:bookmarkEnd w:id="0"/>
      <w:r>
        <w:rPr>
          <w:b/>
          <w:i/>
          <w:sz w:val="26"/>
          <w:szCs w:val="26"/>
          <w:lang w:val="uk-UA"/>
        </w:rPr>
        <w:t xml:space="preserve">ого майданчика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16502, Чернігівська обл., Ніжинський р-н, </w:t>
      </w:r>
      <w:r>
        <w:rPr>
          <w:sz w:val="26"/>
          <w:szCs w:val="26"/>
          <w:lang w:val="uk-UA"/>
        </w:rPr>
        <w:t xml:space="preserve">м.Бахмач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вул.Даньківський</w:t>
      </w:r>
      <w:r>
        <w:rPr>
          <w:sz w:val="26"/>
          <w:szCs w:val="26"/>
          <w:lang w:val="uk-UA"/>
        </w:rPr>
        <w:t xml:space="preserve"> шлях, 75, 82, 83</w:t>
      </w:r>
      <w:r>
        <w:rPr>
          <w:i/>
          <w:sz w:val="26"/>
          <w:szCs w:val="26"/>
          <w:lang w:val="uk-UA"/>
        </w:rPr>
        <w:t xml:space="preserve">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Відомості про наявність висновку з оцінки впливу на довкілля</w:t>
      </w:r>
      <w:r>
        <w:rPr>
          <w:sz w:val="26"/>
          <w:szCs w:val="26"/>
          <w:lang w:val="uk-UA"/>
        </w:rPr>
        <w:t xml:space="preserve">. Згідно вимог Закону України «Про оцінку впливу на довкілля» діяльність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не підлягає оцінці впливу на довкілля.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та загальний опис виробництв, технологічних процесів, технологічного устаткування </w:t>
      </w:r>
      <w:r>
        <w:rPr>
          <w:b/>
          <w:i/>
          <w:sz w:val="26"/>
          <w:szCs w:val="26"/>
          <w:lang w:val="uk-UA"/>
        </w:rPr>
        <w:t xml:space="preserve">обʼєкта</w:t>
      </w:r>
      <w:r>
        <w:rPr>
          <w:b/>
          <w:i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16.1. Виробнича структура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16.2. Перелік видів продукції, що випускається на </w:t>
      </w:r>
      <w:r>
        <w:rPr>
          <w:sz w:val="26"/>
          <w:szCs w:val="26"/>
          <w:u w:val="single"/>
        </w:rPr>
        <w:t xml:space="preserve">обʼєкті</w:t>
      </w:r>
      <w:r>
        <w:rPr>
          <w:sz w:val="26"/>
          <w:szCs w:val="26"/>
          <w:u w:val="single"/>
        </w:rPr>
        <w:t xml:space="preserve">/промисловому майданчику, у тому числі продукції переділів, що використовується у власному виробництві.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16.3. Матеріальні баланси в розрізі виробничого процесу чи окремої операції.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16.4. Перелік та опис виробництв (основних, допоміжних, підсобних та побічних), виробничих процесів (основних. Допоміжних, підсобних, побічних, циклічних, нециклічних, безперервних, </w:t>
      </w:r>
      <w:r>
        <w:rPr>
          <w:sz w:val="26"/>
          <w:szCs w:val="26"/>
          <w:u w:val="single"/>
        </w:rPr>
        <w:t xml:space="preserve">напівбезперервних</w:t>
      </w:r>
      <w:r>
        <w:rPr>
          <w:sz w:val="26"/>
          <w:szCs w:val="26"/>
          <w:u w:val="single"/>
        </w:rPr>
        <w:t xml:space="preserve">, дискретних, закритих, відкритих, напівзакритих), технологічних процесів, технологічного устаткування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 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16.5. 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підприємстві відсутні виробництва та технологічне устаткування, на яких повинні впроваджуватися найкращі доступні технології та методи керування.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16.6. Значення проєктної та фактичної виробничої потужності та продуктивності технологічного устаткування, режим роботи устаткування, баланс часу роботи устаткування.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6"/>
        <w:gridCol w:w="556"/>
        <w:gridCol w:w="1517"/>
        <w:gridCol w:w="1517"/>
        <w:gridCol w:w="1672"/>
        <w:gridCol w:w="1309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Style w:val="714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Style w:val="714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Проектна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Фактична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Режим роботи устаткування, год/рік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Баланс часу роботи устаткування (час роботи / час простою)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Verner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70 </w:t>
            </w:r>
            <w:r>
              <w:rPr>
                <w:sz w:val="26"/>
                <w:szCs w:val="26"/>
                <w:lang w:val="uk-UA"/>
              </w:rPr>
              <w:t xml:space="preserve">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59,5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7 </w:t>
            </w:r>
            <w:r>
              <w:rPr>
                <w:sz w:val="26"/>
                <w:szCs w:val="26"/>
                <w:lang w:val="uk-UA"/>
              </w:rPr>
              <w:t xml:space="preserve">кВт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Піч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дровʼяна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Булерʼян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8,5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Дизель-генератор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WattStream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140 / 6600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Зварювальний апарат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100 / 8740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Ємність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25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25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Постійний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8740 / 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Ємність бензин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Постійний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8740 / 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Паливно-роздаткова колонка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2,7 м</w:t>
            </w:r>
            <w:r>
              <w:rPr>
                <w:sz w:val="26"/>
                <w:szCs w:val="26"/>
                <w:vertAlign w:val="superscript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  <w:t xml:space="preserve">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2,7 м</w:t>
            </w:r>
            <w:r>
              <w:rPr>
                <w:sz w:val="26"/>
                <w:szCs w:val="26"/>
                <w:vertAlign w:val="superscript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  <w:t xml:space="preserve">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40 / 8700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Металообробні верстати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19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100 / 8740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16.7. Терміни введення в експлуатацію те</w:t>
      </w:r>
      <w:r>
        <w:rPr>
          <w:sz w:val="26"/>
          <w:szCs w:val="26"/>
          <w:u w:val="single"/>
          <w:lang w:val="uk-UA"/>
        </w:rPr>
        <w:t xml:space="preserve">хнологічного устаткування, нормативний строк його амортизації,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84"/>
        <w:gridCol w:w="641"/>
        <w:gridCol w:w="1581"/>
        <w:gridCol w:w="1581"/>
        <w:gridCol w:w="1619"/>
        <w:gridCol w:w="1221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Style w:val="714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Style w:val="714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введення в експлуатацію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Нормативний строк амортизації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проведення реконструкції / модернізації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Зміни показників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Verner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Піч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дровʼяна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Булерʼян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Дизель-генератор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WattStream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Зварювальний апарат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Ємність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Ємність бензин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Паливно-роздаткова колонка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Металообробні верстати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19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Майданчик призначений для технічного обслуговування автомобільного парку, включаючи сільськогосподарську техніку, зберігання та вулканізація шин, приймання і зберігання паливо-мастильних матеріалів, функціонування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адмінбудівлі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тощо.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технічної експлуатації автомобілів на підприємстві є комплексна бригада яка виконує технічне обслуговування і ремонт. При технічному обслуговуванні виконують такі операції: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щоденне обслуговування;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№1;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№2;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сезонне обслуговування.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Щоденне обслуговування включає підготовку машини до експлуатації, тобто проведення робіт із зовнішнього огляду, заправці, контрольно-оглядових, кріпильних робіт та усунення всіх несправностей, виявлених у </w:t>
      </w:r>
      <w:hyperlink r:id="rId9" w:tooltip="Процес" w:history="1">
        <w:r>
          <w:rPr>
            <w:color w:val="000000" w:themeColor="text1"/>
            <w:sz w:val="26"/>
            <w:szCs w:val="26"/>
            <w:shd w:val="clear" w:color="auto" w:fill="ffffff"/>
            <w:lang w:val="uk-UA"/>
          </w:rPr>
          <w:t xml:space="preserve">процесі</w:t>
        </w:r>
      </w:hyperlink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експлуатації і при </w:t>
      </w:r>
      <w:hyperlink r:id="rId10" w:tooltip="Контроль" w:history="1">
        <w:r>
          <w:rPr>
            <w:color w:val="000000" w:themeColor="text1"/>
            <w:sz w:val="26"/>
            <w:szCs w:val="26"/>
            <w:shd w:val="clear" w:color="auto" w:fill="ffffff"/>
            <w:lang w:val="uk-UA"/>
          </w:rPr>
          <w:t xml:space="preserve">контрольному</w:t>
        </w:r>
      </w:hyperlink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огляді.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№1 призначене для забезпечення надійної, безвідмовної роботи обладнання до наступного технічного обслуговування. При проведенні також перевіряється правильність встановлення агрегатів, стан різьбових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зʼєднань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, проводиться підтяжка, регулювання окремих агрегатів та вузлів, мастильні роботи і усунення несправностей, виявлених у процесі експлуатації.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№2 призначене для поглибленої перевірки технічного стану машини і її </w:t>
      </w:r>
      <w:hyperlink r:id="rId11" w:tooltip="Механізмі" w:history="1">
        <w:r>
          <w:rPr>
            <w:color w:val="000000" w:themeColor="text1"/>
            <w:sz w:val="26"/>
            <w:szCs w:val="26"/>
            <w:shd w:val="clear" w:color="auto" w:fill="ffffff"/>
            <w:lang w:val="uk-UA"/>
          </w:rPr>
          <w:t xml:space="preserve">механізмів</w:t>
        </w:r>
      </w:hyperlink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і проведення регулювальних і ремонтних робіт з метою забезпечення надійної, безвідмовної роб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оти устаткування до чергового технічного обслуговування. Обсяг технічного обслуговування №2 включає ретельну перевірку стану всіх агрегатів і вузлів з їх частковим розбиранням. На час проведення технічного обслуговування №2 машину знімають з експлуатації.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Сезонне обслуговування (СО) необхідно для підготовки машини до переходу від осінньо-зимового до весняно-літнього періоду експлуатації і нав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паки. Сезонне обслуговування включає всі види робіт технічного обслуговування №2 і роботи, щоб забезпечити своєчасну підготовку до майбутнього сезону (зміна експлуатаційних матеріалів згідно з майбутнім сезоном, виконання спеціальних регулювальних робіт). 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У процесі експлуатації машин відбувається зміна технічного стану її елементів внаслідок зношування, втрати механічної міцності, порушення регу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лювань і посадок, корозії та інших причин, і це може призвести до повної або часткової втрати працездатності окремих елементів, що викликають необхідність проведення поточного ремонту. Основним змістом операцій поточного ремонту є усунення несправностей і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пошкоджень, виявлених у процесі експлуатації або технічного обслуговування, шляхом проведення операцій,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повʼязаних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з частковим або повним розбир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анням окремих вузлів і агрегатів та їх заміною, у разі втрати ними працездатності. Поточний ремонт є складовою частиною планово-запобіжної системи технічного обслуговування, отже він призначений для підтримки працездатності машин в процесі їх експлуатації.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В процесі проведення технічного обслуговування та ремонту автомобілів виконуватиметься механічна обробка металів із застосуванням металообробних верстатів, зварювальні роботи,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шиномонтажні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, роботи, устаткування для вулканізації шин тощо.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Паливо-заправний пункт призначений для приймання і зберігання нафтопродуктів та заправки автомобільного транспорту і техніки підприємства.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До складу паливозаправного пункту входять наступні будівлі і споруди: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операторна;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один підземний сталевий резервуар місткістю 25 м3 для зберігання дизельного палива;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один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падземний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сталевий резервуар місткістю 10 м3 для зберігання бензину;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паливно-роздаткова колонка на два пістолети.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Прийом нафтопродуктів з автоцистерн проводиться закритою системою зливу пального, що дозволяє уникнути будь-якого забруднення вантажу. Така система передбачає перекачування нафтопродуктів через герметичний рукав,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повʼязаний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із автоцистерною.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Колонка забезпечена лічильником для обліку кількості нафтопродуктів, що відпускаються. Включення колонки в роботу проводиться дистанційно з будівлі операторської.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Кожен резервуар оснащується дихальним клапаном з вогняним запобіжником, який дозволяє під час експлуатації підтримувати постійний робочий тиск у середині резервуарів, виключає вихід парів нафтопродуктів у навколишнє середовище і попадання відкритого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полумʼя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у середину резервуара.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опалення адміністративних, побутових та виробничих приміщень в осінньо-зимовий період застосовуються твердопаливне котельне устаткування. Під час аварійного відключення електрики використовується дизель-генератор.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Відомості щодо виду та обсягів викидів забруднюючих речовин в атмосферне повітря стаціонарними джерелами.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16.2. Відомості щодо виду та обсягів викидів забруднюючих речовин в атмосферне повітря стаціонарними джерелами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3"/>
        <w:gridCol w:w="1051"/>
        <w:gridCol w:w="2623"/>
        <w:gridCol w:w="1616"/>
        <w:gridCol w:w="1763"/>
        <w:gridCol w:w="1691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з/п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Фактичний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Потенційний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Порогові значення потенційних викидів для взяття на державний облік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0,7505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0,7505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найбільш поширених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0,3835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0,3835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04001/ </w:t>
            </w:r>
            <w:r>
              <w:rPr>
                <w:bCs/>
                <w:sz w:val="26"/>
                <w:szCs w:val="26"/>
                <w:lang w:val="uk-UA"/>
              </w:rPr>
              <w:t xml:space="preserve">10102-44-0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0,1571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0,1571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05001/ </w:t>
            </w:r>
            <w:r>
              <w:rPr>
                <w:bCs/>
                <w:sz w:val="26"/>
                <w:szCs w:val="26"/>
                <w:lang w:val="uk-UA"/>
              </w:rPr>
              <w:t xml:space="preserve">7446-09-5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Сірки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06000/ </w:t>
            </w:r>
            <w:r>
              <w:rPr>
                <w:bCs/>
                <w:sz w:val="26"/>
                <w:szCs w:val="26"/>
                <w:lang w:val="uk-UA"/>
              </w:rPr>
              <w:t xml:space="preserve">630-08-0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0,1602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0,1602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trHeight w:val="168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0,7028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0,7028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небезпечних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01003/ 1309-37-1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Залізо та його сполуки (у перерахунку на залізо)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01104/ 1313-13-9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Манган та його сполуки (у перерахунку на діоксид мангану)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11022/ 75-21-8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Етилену 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0,0000006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0,0000006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11052/ 126-99-8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Хлоропрен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15003/ 7647-01-0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Водню хлорид (соляна кислота за молекулою </w:t>
            </w:r>
            <w:r>
              <w:rPr>
                <w:sz w:val="26"/>
                <w:szCs w:val="26"/>
                <w:lang w:val="en-US"/>
              </w:rPr>
              <w:t xml:space="preserve">HCl</w:t>
            </w:r>
            <w:r>
              <w:rPr>
                <w:sz w:val="26"/>
                <w:szCs w:val="26"/>
                <w:lang w:val="uk-UA"/>
              </w:rPr>
              <w:t xml:space="preserve">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0,0000025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0,0000025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0,000443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0,000443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інших забруднюючих речовин, які викидаються в атмосферне повітря стаціонарними джерелами 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11000/ 115-11-7, 74-85-1, 78-79-5,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0,0409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0,0409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12000/ </w:t>
            </w:r>
            <w:r>
              <w:rPr>
                <w:sz w:val="26"/>
                <w:szCs w:val="26"/>
              </w:rPr>
              <w:t xml:space="preserve">74-82-8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0,00362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0,00362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0,0445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0,0445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в атмосферному повітрі населених міст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0,00275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0,00275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78,177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78,177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78,1798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78,1798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6838" w:orient="portrait" w:w="11906"/>
          <w:pgMar w:top="851" w:right="851" w:bottom="851" w:left="1418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16.3. Характеристика установок очистки газу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709"/>
        <w:gridCol w:w="862"/>
        <w:gridCol w:w="1689"/>
        <w:gridCol w:w="931"/>
        <w:gridCol w:w="1087"/>
        <w:gridCol w:w="1357"/>
        <w:gridCol w:w="1404"/>
        <w:gridCol w:w="920"/>
        <w:gridCol w:w="1357"/>
        <w:gridCol w:w="1404"/>
        <w:gridCol w:w="920"/>
        <w:gridCol w:w="1073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джерела викиду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 </w:t>
            </w:r>
            <w:r>
              <w:rPr>
                <w:bCs/>
                <w:sz w:val="20"/>
                <w:szCs w:val="20"/>
                <w:lang w:val="uk-UA"/>
              </w:rPr>
              <w:br/>
              <w:t xml:space="preserve">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Забруднюючі речовини, за якими проводиться </w:t>
            </w:r>
            <w:r>
              <w:rPr>
                <w:bCs/>
                <w:sz w:val="20"/>
                <w:szCs w:val="20"/>
                <w:lang w:val="uk-UA"/>
              </w:rPr>
              <w:t xml:space="preserve">газоочистка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Ступень </w:t>
            </w:r>
            <w:r>
              <w:rPr>
                <w:bCs/>
                <w:sz w:val="20"/>
                <w:szCs w:val="20"/>
                <w:lang w:val="uk-UA"/>
              </w:rPr>
              <w:t xml:space="preserve">очищен</w:t>
            </w:r>
            <w:r>
              <w:rPr>
                <w:bCs/>
                <w:sz w:val="20"/>
                <w:szCs w:val="20"/>
                <w:lang w:val="uk-UA"/>
              </w:rPr>
              <w:t xml:space="preserve">-ня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Назва та тип установки очистки газу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вході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виході з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Ступінь очищення газу, %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CAS №/ CAS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Установки очистки газу на 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 відсутні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1906" w:orient="landscape" w:w="16838"/>
          <w:pgMar w:top="1418" w:right="851" w:bottom="851" w:left="851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16.4. Дані потенційних обсягів викидів забруднюючих речовин в атмосферне повітря стаціонарними джерелами від </w:t>
      </w:r>
      <w:r>
        <w:rPr>
          <w:sz w:val="26"/>
          <w:szCs w:val="26"/>
          <w:lang w:val="uk-UA"/>
        </w:rPr>
        <w:t xml:space="preserve">обʼєкта</w:t>
      </w:r>
      <w:r>
        <w:rPr>
          <w:sz w:val="26"/>
          <w:szCs w:val="26"/>
          <w:lang w:val="uk-UA"/>
        </w:rPr>
        <w:t xml:space="preserve"> / промислового майданчика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1652"/>
        <w:gridCol w:w="4576"/>
        <w:gridCol w:w="3117"/>
      </w:tblGrid>
      <w:tr>
        <w:trPr>
          <w:tblHeader/>
        </w:trPr>
        <w:tc>
          <w:tcPr>
            <w:gridSpan w:val="2"/>
            <w:tcBorders/>
            <w:tcW w:w="6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7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7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sz w:val="26"/>
                <w:szCs w:val="26"/>
                <w:lang w:val="uk-UA"/>
              </w:rPr>
              <w:t xml:space="preserve">обʼєкта</w:t>
            </w:r>
            <w:r>
              <w:rPr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0,751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Метали та їх сполуки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Залізо та його сполуки (у перерахунку на залізо)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01104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Манган та його сполуки (у перерахунку на діоксид мангану)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0,384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Діоксид та інші сполуки сірки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Сірки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Етилену 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11052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Хлоропрен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Хлор та сполуки хлору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Водню хлорид (соляна кислота за молекулою </w:t>
            </w:r>
            <w:r>
              <w:rPr>
                <w:sz w:val="26"/>
                <w:szCs w:val="26"/>
                <w:lang w:val="en-US"/>
              </w:rPr>
              <w:t xml:space="preserve">HCl</w:t>
            </w:r>
            <w:r>
              <w:rPr>
                <w:sz w:val="26"/>
                <w:szCs w:val="26"/>
                <w:lang w:val="uk-UA"/>
              </w:rPr>
              <w:t xml:space="preserve">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78,177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16.5.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7"/>
        <w:gridCol w:w="3137"/>
        <w:gridCol w:w="1428"/>
        <w:gridCol w:w="3113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Процеси спалювання в малих установках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0,568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0,207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Діоксид та інші сполуки сірки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Сірки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78,177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9"/>
        <w:gridCol w:w="3133"/>
        <w:gridCol w:w="1423"/>
        <w:gridCol w:w="3110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Неорганізовані викиди від поширення (розподілу) нафтопродуктів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009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2"/>
        <w:gridCol w:w="3134"/>
        <w:gridCol w:w="1422"/>
        <w:gridCol w:w="3107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Зберігання, оброблення та транспортування металопродукції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0,059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Метали та їх сполуки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Залізо та його сполуки (у перерахунку на залізо)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01104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Манган та його сполуки (у перерахунку на діоксид мангану)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0,057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1"/>
        <w:gridCol w:w="3135"/>
        <w:gridCol w:w="1426"/>
        <w:gridCol w:w="3113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Виробництво хімічної продукції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Етилену 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11052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Хлоропрен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Хлор та сполуки хлору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Водню хлорид (соляна кислота за молекулою </w:t>
            </w:r>
            <w:r>
              <w:rPr>
                <w:sz w:val="26"/>
                <w:szCs w:val="26"/>
                <w:lang w:val="en-US"/>
              </w:rPr>
              <w:t xml:space="preserve">HCl</w:t>
            </w:r>
            <w:r>
              <w:rPr>
                <w:sz w:val="26"/>
                <w:szCs w:val="26"/>
                <w:lang w:val="uk-UA"/>
              </w:rPr>
              <w:t xml:space="preserve">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4"/>
        <w:gridCol w:w="3138"/>
        <w:gridCol w:w="1429"/>
        <w:gridCol w:w="3114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Інші стаціонарні джерела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0,120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0,120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Заходи щодо впровадження найкращих існуючих технологій виробництва.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другої групи, інформація заходи не плануються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заходів щодо скорочення викидів забруднюючих речовин.</w:t>
      </w:r>
      <w:r>
        <w:rPr>
          <w:b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досягнення встановлених нормативів гранично-допустимих викидів для найбільш поширених і небезпечних забруднюючих речовин</w:t>
      </w:r>
      <w:r>
        <w:rPr>
          <w:bCs/>
          <w:sz w:val="26"/>
          <w:szCs w:val="26"/>
          <w:lang w:val="uk-UA"/>
        </w:rPr>
        <w:t xml:space="preserve"> не </w:t>
      </w:r>
      <w:r>
        <w:rPr>
          <w:bCs/>
          <w:sz w:val="26"/>
          <w:szCs w:val="26"/>
          <w:lang w:val="uk-UA"/>
        </w:rPr>
        <w:t xml:space="preserve">встановлюються у зв’язку з тим, що на підприємстві викиди найбільш поширених та небезпечних забруднюючих речовин не перевищують встановлених нормативів граничнодопустимих викидів. 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запобігання перевищенню встановлених нормативів граничнодопустимих викидів у процесі виробництва</w:t>
      </w:r>
      <w:r>
        <w:rPr>
          <w:bCs/>
          <w:sz w:val="26"/>
          <w:szCs w:val="26"/>
          <w:lang w:val="uk-UA"/>
        </w:rPr>
        <w:t xml:space="preserve">. Дотримуватися </w:t>
      </w:r>
      <w:r>
        <w:rPr>
          <w:bCs/>
          <w:sz w:val="26"/>
          <w:szCs w:val="26"/>
          <w:lang w:val="uk-UA"/>
        </w:rPr>
        <w:t xml:space="preserve">техрегламенту</w:t>
      </w:r>
      <w:r>
        <w:rPr>
          <w:bCs/>
          <w:sz w:val="26"/>
          <w:szCs w:val="26"/>
          <w:lang w:val="uk-UA"/>
        </w:rPr>
        <w:t xml:space="preserve">. Не допускати утворення нових джерел викидів забруднюючих речовин в атмосферне повітря без попередньої розробки та погодження відповідної дозвільної документації.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обмеження обсягів залпових викидів забруднюючих речовин в атмосферне повітря</w:t>
      </w:r>
      <w:r>
        <w:rPr>
          <w:bCs/>
          <w:sz w:val="26"/>
          <w:szCs w:val="26"/>
          <w:lang w:val="uk-UA"/>
        </w:rPr>
        <w:t xml:space="preserve">. Залпові джерела відсутні 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остаточного припинення діяльності, пов’язаної з викидами забруднюючих речовин в атмосферне повітря, та приведення місця діяльності в задовільний стан</w:t>
      </w:r>
      <w:r>
        <w:rPr>
          <w:bCs/>
          <w:sz w:val="26"/>
          <w:szCs w:val="26"/>
          <w:lang w:val="uk-UA"/>
        </w:rPr>
        <w:t xml:space="preserve">. Заходи не встановлюються. Вся територія </w:t>
      </w:r>
      <w:r>
        <w:rPr>
          <w:bCs/>
          <w:sz w:val="26"/>
          <w:szCs w:val="26"/>
          <w:lang w:val="uk-UA"/>
        </w:rPr>
        <w:t xml:space="preserve">обʼєкта</w:t>
      </w:r>
      <w:r>
        <w:rPr>
          <w:bCs/>
          <w:sz w:val="26"/>
          <w:szCs w:val="26"/>
          <w:lang w:val="uk-UA"/>
        </w:rPr>
        <w:t xml:space="preserve"> знаходиться в задовільному стані.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bCs/>
          <w:sz w:val="26"/>
          <w:szCs w:val="26"/>
          <w:lang w:val="uk-UA"/>
        </w:rPr>
        <w:t xml:space="preserve">. Перелік заходів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розробляється для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, які згідно з законодавством уважаються </w:t>
      </w:r>
      <w:r>
        <w:rPr>
          <w:bCs/>
          <w:sz w:val="26"/>
          <w:szCs w:val="26"/>
          <w:lang w:val="uk-UA"/>
        </w:rPr>
        <w:t xml:space="preserve">обʼєктами</w:t>
      </w:r>
      <w:r>
        <w:rPr>
          <w:bCs/>
          <w:sz w:val="26"/>
          <w:szCs w:val="26"/>
          <w:lang w:val="uk-UA"/>
        </w:rPr>
        <w:t xml:space="preserve"> підвищеної небезпеки (включені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небезпеки). </w:t>
      </w:r>
      <w:r>
        <w:rPr>
          <w:bCs/>
          <w:sz w:val="26"/>
          <w:szCs w:val="26"/>
          <w:lang w:val="uk-UA"/>
        </w:rPr>
        <w:t xml:space="preserve">Обʼєкт</w:t>
      </w:r>
      <w:r>
        <w:rPr>
          <w:bCs/>
          <w:sz w:val="26"/>
          <w:szCs w:val="26"/>
          <w:lang w:val="uk-UA"/>
        </w:rPr>
        <w:t xml:space="preserve"> не включено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right="-2" w:left="170"/>
        <w:jc w:val="center"/>
        <w:rPr>
          <w:i/>
          <w:i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регулювання при несприятливих метеорологічних умовах (НМУ)</w:t>
      </w:r>
      <w:r>
        <w:rPr>
          <w:b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Заходи щодо регулювання викидів при несприятливих метеорологічних умовах (НМУ) розроблені відповідно до РД 52.04.52-85.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Попередження про підвищення рівня забруднення повітря у </w:t>
      </w:r>
      <w:r>
        <w:rPr>
          <w:sz w:val="26"/>
          <w:szCs w:val="26"/>
          <w:lang w:val="uk-UA"/>
        </w:rPr>
        <w:t xml:space="preserve">звʼязку</w:t>
      </w:r>
      <w:r>
        <w:rPr>
          <w:sz w:val="26"/>
          <w:szCs w:val="26"/>
          <w:lang w:val="uk-UA"/>
        </w:rPr>
        <w:t xml:space="preserve"> з очікуваними несприятливими метеорологічними умовами складаються в підрозділах Державної служби України з надзвичайних ситуацій (ДСНС).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Залежно від рівня забруднення атмосфери складаються попередження трьох ступенів, яким відповідають три види роботи підприємства в період НМУ. Попередження </w:t>
      </w:r>
      <w:r>
        <w:rPr>
          <w:sz w:val="26"/>
          <w:szCs w:val="26"/>
          <w:u w:val="single"/>
          <w:lang w:val="uk-UA"/>
        </w:rPr>
        <w:t xml:space="preserve">першого ступеня</w:t>
      </w:r>
      <w:r>
        <w:rPr>
          <w:sz w:val="26"/>
          <w:szCs w:val="26"/>
          <w:lang w:val="uk-UA"/>
        </w:rPr>
        <w:t xml:space="preserve"> складається, якщо передвіщається один з комплексів НМУ, при якому очікується концентрація в повітрі одного або декількох контрольованих речовин вище ГДК, </w:t>
      </w:r>
      <w:r>
        <w:rPr>
          <w:sz w:val="26"/>
          <w:szCs w:val="26"/>
          <w:u w:val="single"/>
          <w:lang w:val="uk-UA"/>
        </w:rPr>
        <w:t xml:space="preserve">другого ступеня</w:t>
      </w:r>
      <w:r>
        <w:rPr>
          <w:sz w:val="26"/>
          <w:szCs w:val="26"/>
          <w:lang w:val="uk-UA"/>
        </w:rPr>
        <w:t xml:space="preserve"> – якщо передв</w:t>
      </w:r>
      <w:r>
        <w:rPr>
          <w:sz w:val="26"/>
          <w:szCs w:val="26"/>
          <w:lang w:val="uk-UA"/>
        </w:rPr>
        <w:t xml:space="preserve">іщаються два таких комплекси НМУ одночасно (наприклад, якщо при небезпечній швидкості вітру очікується піднята інверсія та несприятливий напрямок вітру, або коли очікуються концентрації одного або декількох контрольованих речовин вище 3 ГДК). Попередження </w:t>
      </w:r>
      <w:r>
        <w:rPr>
          <w:sz w:val="26"/>
          <w:szCs w:val="26"/>
          <w:u w:val="single"/>
          <w:lang w:val="uk-UA"/>
        </w:rPr>
        <w:t xml:space="preserve">третього ступеня</w:t>
      </w:r>
      <w:r>
        <w:rPr>
          <w:sz w:val="26"/>
          <w:szCs w:val="26"/>
          <w:lang w:val="uk-UA"/>
        </w:rPr>
        <w:t xml:space="preserve"> скл</w:t>
      </w:r>
      <w:r>
        <w:rPr>
          <w:sz w:val="26"/>
          <w:szCs w:val="26"/>
          <w:lang w:val="uk-UA"/>
        </w:rPr>
        <w:t xml:space="preserve">адається в тому випадку, якщо після передачі попередження другого ступеня небезпеки зберігається високий рівень забруднення атмосфери, очікується збереження НМУ; при цьому очікуються концентрації в повітрі одного або декількох шкідливих речовин вище 5 ГДК.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надходженні цих попереджень від підрозділів ДСНС на підприємстві повинен бути виконаний комплекс заходів, спрямованих на зниження забруднень атмосфери.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першому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першому режимі роботи підприємства заходи повинні забезпечити скороч</w:t>
      </w:r>
      <w:r>
        <w:rPr>
          <w:sz w:val="26"/>
          <w:szCs w:val="26"/>
          <w:lang w:val="uk-UA"/>
        </w:rPr>
        <w:t xml:space="preserve">ення концентрації забруднюючих речовин у приземному шарі атмосфери приблизно на 15-20%. Ці заходи носять організаційно-технічний характер, їх можна швидко здійснити, вони не вимагають істотних витрат і не призводять до зниження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першому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посилити контроль за точним дотриманням технологічного регламенту виробництва;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роботу обладнання на форсованому режимі;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розосередити в часі роботу технологічних агрегатів, що не беруть участь в єдиному безперервному технологічному процесі, при роботі яких викиди шкідливих речовин в атмосферу досягають максимальних значень;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продувку і чистку обладнання, газоходів, ємностей, в яких зберігалися забруднюючі речовини, ремонтні роботи, пов'язані з підвищеним виділенням шкідливих речовин в атмосферу;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вантажно-розвантажувальні роботи, пов'язані зі значними виділеннями в атмосферу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використовувати запас високоякісної сировини, при роботі на якому забезпечується зниження викидів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інтенсифікувати вологе прибирання виробничих приміщень підприємства, де це допускається правилами техніки безпеки;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інструментальний контроль на межі санітарно-захисної зони.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другому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другому режимі роботи підприємства заходи повинні забезпечити скорочення концентрації заб</w:t>
      </w:r>
      <w:r>
        <w:rPr>
          <w:sz w:val="26"/>
          <w:szCs w:val="26"/>
          <w:lang w:val="uk-UA"/>
        </w:rPr>
        <w:t xml:space="preserve">руднюючих речовин у приземному шарі атмосфери приблизно на 20-40%. Ці заходи включають в себе всі заходи, розроблені для першого режиму, а також заходи, що впливають на технологічні процеси і супроводжуються незначним зниженням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другому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разі, якщо терміни початку планово-попереджувальних робіт з ремонту технологічного устаткування і настання НМУ досить близькі, слід провести зупинку устаткування;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продуктивність окремих апаратів і технологічних ліній, робота яких пов’язана зі значним виділенням в атмосферу шкідливих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зменшити інтенсивність технологічних процесів, пов’язаних з підвищеними викидами шкідливих речовин в атмосферу на тих підприємствах, де за рахунок інтенсифікації і використання більш якісної сировини можлива компенсація відставання в періоди НМУ;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використання автотранспорту та інших пересувних джерел викидів на території підприємства згідно з раніше розробленими схемами маршрутів.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третьому режимі роботи підприємств.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третьому режимі роботи підприємств заходи повинні забезпечити скорочення концентрацій забруднюючих речовин у приземному шарі атмосфери приблизно на 40-60%, а в деяких особливо небезпечних умовах підприємствам слід повн</w:t>
      </w:r>
      <w:r>
        <w:rPr>
          <w:sz w:val="26"/>
          <w:szCs w:val="26"/>
          <w:lang w:val="uk-UA"/>
        </w:rPr>
        <w:t xml:space="preserve">істю припинити викиди. Заходи третьому режимі включають в себе всі заходи, розроблені для першого і другого режимів, а також заходи, здійснення яких дозволяє знизити викиди забруднюючих речовин за рахунок тимчасового скорочення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третьому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супроводжуються значними виділеннями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відключити апарати та обладнання, робота яких пов’язана із значним забрудненням повітря;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виробництво вантажно-розвантажувальних робіт, відвантаження готової продукції, сипучого вихідної сировини і реагентів, які є джерелом забруднення;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перерозподілити навантаження виробництв і технологічних ліній на більш ефективне обладнання;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виїзд на лінії автотранспортних засобів (включаючи особистий транспорт) з неврегульованою двигунами. Склад відпрацьованих газів не повинен перевищувати гранично допустимі викиди шкідливих речовин, зазначених у ДСТУ 4277:2004 та 4276:2004;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не мають газоочисних споруд.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Заходи, направлені на скорочення викидів забруднюючих речовин в атмосферне повітря, в залежності від виробництв, технологічного устаткування </w:t>
      </w:r>
      <w:r>
        <w:rPr>
          <w:bCs/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 не передбачаються.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Дотримання виконання природоохоронних заходів щодо скорочення викидів.</w:t>
      </w:r>
      <w:r>
        <w:rPr>
          <w:bCs/>
          <w:sz w:val="26"/>
          <w:szCs w:val="26"/>
          <w:lang w:val="uk-UA"/>
        </w:rPr>
        <w:t xml:space="preserve"> Заходи не плануються.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Оцінка впливу викидів забруднюючих речовин на стан забруднення атмосферного повітря здійснюється за результатами розрахунків розсіювання </w:t>
      </w:r>
      <w:r>
        <w:rPr>
          <w:sz w:val="26"/>
          <w:szCs w:val="26"/>
          <w:lang w:val="uk-UA"/>
        </w:rPr>
        <w:t xml:space="preserve">забруднюючих речовин в атмосферному повітрі та даними, що одержані при проведення інструментальних методів досліджень акредитованими лабораторіями в установленому законодавством порядку.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об’єкт відноситься до третьої групи, оцінка впливу викидів забруднюючих речовин на стан атмосферного повітря не проводиться у відповідності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Пропозиції щодо дозволених обсягів викидів забруднюючих речовин, які віднесені до основних джерел викидів: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16.6. Пропозиції щодо дозволених обсягів викидів забруднюючих речовин, які віднесені до основних джерел викидів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1043"/>
        <w:gridCol w:w="1926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Номер джерела викидів: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Місце розташування джерела викиду: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Максимальна витрата викиду, кубічних метрів на секунду: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Висота викиду, метрів: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33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забруднюючих речовин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Граничнодопустимий викид відповідно за законодавства, 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04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/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На </w:t>
            </w:r>
            <w:r>
              <w:rPr>
                <w:i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sz w:val="26"/>
                <w:szCs w:val="26"/>
                <w:lang w:val="uk-UA"/>
              </w:rPr>
              <w:t xml:space="preserve"> відсутні джерела викидів, віднесені до основних</w:t>
            </w:r>
            <w:r>
              <w:rPr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16.7 Пропозиції щодо дозволених обсягів викидів забруднюючих речовин, які віднесені до інших джерел викидів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 – труба твердопаливного «</w:t>
      </w:r>
      <w:r>
        <w:rPr>
          <w:sz w:val="26"/>
          <w:szCs w:val="26"/>
          <w:lang w:val="en-US"/>
        </w:rPr>
        <w:t xml:space="preserve">Verner</w:t>
      </w:r>
      <w:r>
        <w:rPr>
          <w:sz w:val="26"/>
          <w:szCs w:val="26"/>
          <w:lang w:val="uk-UA"/>
        </w:rPr>
        <w:t xml:space="preserve">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0,001008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0,000757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 – вентиляційний отвір топкової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складом – 0,00003 з дати отримання дозволу;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0,000021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0,000015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№3 – труба твердопаливного «Буржуйка»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№3,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№12 – труба печі </w:t>
      </w:r>
      <w:r>
        <w:rPr>
          <w:sz w:val="26"/>
          <w:szCs w:val="26"/>
          <w:lang w:val="uk-UA"/>
        </w:rPr>
        <w:t xml:space="preserve">дровʼяної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№12,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№13 – патрубок дизель-генератору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складом – 0,000099 з дати отримання дозволу.</w:t>
      </w:r>
      <w:r>
        <w:rPr>
          <w:color w:val="000000"/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0,001786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0,029762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Діоксид сірки (діоксид та триоксид) у перерахунку на діоксид сірки – 0,003968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№13,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№14 – труба твердопаливного котлу «</w:t>
      </w:r>
      <w:r>
        <w:rPr>
          <w:sz w:val="26"/>
          <w:szCs w:val="26"/>
          <w:lang w:val="uk-UA"/>
        </w:rPr>
        <w:t xml:space="preserve">Булерʼян</w:t>
      </w:r>
      <w:r>
        <w:rPr>
          <w:sz w:val="26"/>
          <w:szCs w:val="26"/>
          <w:lang w:val="uk-UA"/>
        </w:rPr>
        <w:t xml:space="preserve">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№14,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№16 – труба твердопаливного котлу «Буржуйка»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№16,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організованих джерел №№17, 19, гранично допустимий викид не встановлюється, оскільки не підлягає регулюванню відповідно до законодавства.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№24 – труба твердопаливного котлу «</w:t>
      </w:r>
      <w:r>
        <w:rPr>
          <w:sz w:val="26"/>
          <w:szCs w:val="26"/>
          <w:lang w:val="uk-UA"/>
        </w:rPr>
        <w:t xml:space="preserve">Булерʼян</w:t>
      </w:r>
      <w:r>
        <w:rPr>
          <w:sz w:val="26"/>
          <w:szCs w:val="26"/>
          <w:lang w:val="uk-UA"/>
        </w:rPr>
        <w:t xml:space="preserve">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№24,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№25 – труба твердопаливного котлу «Буржуйка»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№25,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№26 – труба твердопаливного котлу «Буржуйка»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№26,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№28 – труба твердопаливного котлу «Буржуйка»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№28,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№№30, 31 – дефлектор токарного відділення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складом</w:t>
      </w:r>
      <w:r>
        <w:rPr>
          <w:sz w:val="26"/>
          <w:szCs w:val="26"/>
          <w:lang w:val="uk-UA"/>
        </w:rPr>
        <w:t xml:space="preserve"> – 0,0697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Джерела №№4-11, 15, 18, 20-23, 27, 29 – неорганізовані. Для неорганізованих джерел викидів граничнодопустимі викиди не встановлюються відповідно до діючого законодавства. Регулювання цих джерел здійснюється шляхом встановлення вимог.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 xml:space="preserve">Пропозиції щодо умов, які встановлюються в дозволі на викиди до:</w:t>
      </w:r>
      <w:r>
        <w:rPr>
          <w:bCs/>
          <w:i/>
          <w:sz w:val="26"/>
          <w:szCs w:val="26"/>
          <w:lang w:val="uk-UA"/>
        </w:rPr>
      </w:r>
    </w:p>
    <w:p>
      <w:pPr>
        <w:pStyle w:val="771"/>
        <w:pBdr/>
        <w:spacing w:before="0" w:line="276" w:lineRule="auto"/>
        <w:ind w:right="-2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1) Умови до викидів забруднюючих речовин в атмосферне повітря стаціонарними джерелами</w:t>
      </w:r>
      <w:r>
        <w:rPr>
          <w:rFonts w:ascii="Times New Roman" w:hAnsi="Times New Roman"/>
          <w:b/>
          <w:bCs/>
          <w:szCs w:val="26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Ні для одного з вказаних дозволених видів викидів в атмосферу не повинні перевищуватися граничнодопустимі рівні викидів, наведених в Документах. Інших викидів, що чинять суттєвий вплив на навколишнє середовище, бути не повинно.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Моніторинг і аналіз для кожного окремого виду викидів в атмосферу повинні робитися відповідно до умов, які встановлюються в дозволі.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 дотримання умов дозволу на викиди та виконання заходів щодо зд</w:t>
      </w:r>
      <w:r>
        <w:rPr>
          <w:sz w:val="26"/>
          <w:szCs w:val="26"/>
          <w:lang w:val="uk-UA"/>
        </w:rPr>
        <w:t xml:space="preserve">ійснення контролю за дотриманням установлених граничнодопустимих викидів забруднюючих речовин в атмосферне повітря повинена надаватися в Департамент екології та природних ресурсів Чернігівської обласної державної адміністрації (далі – Департамент) щорічно.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всі роботи на </w:t>
      </w:r>
      <w:r>
        <w:rPr>
          <w:sz w:val="26"/>
          <w:szCs w:val="26"/>
          <w:lang w:val="uk-UA"/>
        </w:rPr>
        <w:t xml:space="preserve">обʼєкті</w:t>
      </w:r>
      <w:r>
        <w:rPr>
          <w:sz w:val="26"/>
          <w:szCs w:val="26"/>
          <w:lang w:val="uk-UA"/>
        </w:rPr>
        <w:t xml:space="preserve"> робились таким чином, щоб викиди в атмосферу та/або запах не призводили до суттєвих незручностей за межами </w:t>
      </w:r>
      <w:r>
        <w:rPr>
          <w:sz w:val="26"/>
          <w:szCs w:val="26"/>
          <w:lang w:val="uk-UA"/>
        </w:rPr>
        <w:t xml:space="preserve">обʼєкту</w:t>
      </w:r>
      <w:r>
        <w:rPr>
          <w:sz w:val="26"/>
          <w:szCs w:val="26"/>
          <w:lang w:val="uk-UA"/>
        </w:rPr>
        <w:t xml:space="preserve">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Усі роботи на підприємстві повинні здійснюватися відповідно з затвердженими техно</w:t>
      </w:r>
      <w:r>
        <w:rPr>
          <w:sz w:val="26"/>
          <w:szCs w:val="26"/>
          <w:lang w:val="uk-UA"/>
        </w:rPr>
        <w:t xml:space="preserve">логічними документами (технологічний регламент) та з використанням сировини та матеріалів, що відповідають ДСТУ, ТУ та іншої нормативної документації, затвердженою в установленому порядку з додержанням вимог чинного природоохоронного законодавства України.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технічне обслуговування та експлуатацію технологічного устаткування у відповідності до вимог, передбачених в паспорті на дане устаткування та в інших діючих нормативних документах.</w:t>
      </w:r>
      <w:r>
        <w:rPr>
          <w:sz w:val="26"/>
          <w:szCs w:val="26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567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2) Умови до виробничого контролю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 допустимі викиди в атмосферне повітря в рамках дозволу повинні тлумачитися наступним чином: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u w:val="single"/>
          <w:lang w:val="uk-UA"/>
        </w:rPr>
        <w:t xml:space="preserve">Періодичний моніторинг</w:t>
      </w:r>
      <w:r>
        <w:rPr>
          <w:sz w:val="26"/>
          <w:szCs w:val="26"/>
          <w:lang w:val="uk-UA"/>
        </w:rPr>
        <w:t xml:space="preserve">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будь-якого параметру, вимірювання якого в силу особливостей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/аналізу за 20 хвилин неможливо, необхідно встановити відповідний період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, а отримані при таких вимірюваннях величини не повинні перевищувати дозволені обсяги викидів забруднюючих речовин;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результати вимірювань масової концентрації забруднюючої речовини, які характеризують вміст цієї забруднюючої речовини за </w:t>
      </w:r>
      <w:r>
        <w:rPr>
          <w:sz w:val="26"/>
          <w:szCs w:val="26"/>
          <w:lang w:val="uk-UA"/>
        </w:rPr>
        <w:t xml:space="preserve">двадцятихвилинний</w:t>
      </w:r>
      <w:r>
        <w:rPr>
          <w:sz w:val="26"/>
          <w:szCs w:val="26"/>
          <w:lang w:val="uk-UA"/>
        </w:rPr>
        <w:t xml:space="preserve"> проміжок часу </w:t>
      </w:r>
      <w:r>
        <w:rPr>
          <w:sz w:val="26"/>
          <w:szCs w:val="26"/>
          <w:lang w:val="uk-UA"/>
        </w:rPr>
        <w:t xml:space="preserve">по всьому вимірному перерізу газоходу, вважаються такими, що не перевищують значення відповідного нормативу граничнодопустимого викиду, якщо значення кожного результату вимірювання не перевищують значення встановленого нормативу граничнодопустимого викиду;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граничнодопустима інтенсивність викидів п</w:t>
      </w:r>
      <w:r>
        <w:rPr>
          <w:sz w:val="26"/>
          <w:szCs w:val="26"/>
          <w:lang w:val="uk-UA"/>
        </w:rPr>
        <w:t xml:space="preserve">овинна розраховуватися на основі концентрацій як середня величина за певний період часу, помножена на величину відповідної масової витрати. Жоден з визначених таким чином показників не повинен перевищувати гранично допустиму величину інтенсивності викидів;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всіх інших параметрів, жоден із середніх показників за 20 хвилин не повинен перевищувати гранично допустиму величину дозволених викидів.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Граничнодопустимі концентрації для викидів в атмосферне повітря, встановлені в Дозволі, повинні досягатися без розбавлення повітрям та повинні ґрунтуватися на величинах обсягу газів, призведених до наступних нормальних умов: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газів: температура 273 К, тиск 101,3 кПа (без виправлень на вміст кисню та вологості);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газоподібних продуктів спалювання: температура: 273 К, тиск: 101,3 кПа, сухий газ; 3 % кисню для газоподібного та рідкого палива, 6% кисню для твердого палива.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проводити </w:t>
      </w:r>
      <w:r>
        <w:rPr>
          <w:sz w:val="26"/>
          <w:szCs w:val="26"/>
          <w:lang w:val="uk-UA"/>
        </w:rPr>
        <w:t xml:space="preserve">відбір проб, аналіз, вимірювання, дослідження, обслуговування та калібрування відповідно до розділу –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джерелах викидів, які підлягають періодичному моніторингу, </w:t>
      </w:r>
      <w:r>
        <w:rPr>
          <w:sz w:val="26"/>
          <w:szCs w:val="26"/>
          <w:lang w:val="uk-UA"/>
        </w:rPr>
        <w:t xml:space="preserve">субʼєкт</w:t>
      </w:r>
      <w:r>
        <w:rPr>
          <w:sz w:val="26"/>
          <w:szCs w:val="26"/>
          <w:lang w:val="uk-UA"/>
        </w:rPr>
        <w:t xml:space="preserve"> господарювання повинен облаштувати місця відбору проб з урахуванням вимог ДСТУ 8812:2018 «Якість повітря. Викиди стаціонарних джерел. Настанови з відбирання проб».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забезпечувати постійний та безпечний доступ до місць відбору проб для контролю викидів забруднюючих речовин в атмосферне повітря, а також безпечний доступ до будь-яких інших точок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 та моніторингу.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u w:val="single"/>
          <w:lang w:val="uk-UA"/>
        </w:rPr>
      </w:r>
      <w:r>
        <w:rPr>
          <w:bCs/>
          <w:sz w:val="26"/>
          <w:szCs w:val="26"/>
          <w:u w:val="single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3) Умови до неорганізованих (вимоги) та залпових джерел викидів </w:t>
      </w:r>
      <w:r>
        <w:rPr>
          <w:b/>
          <w:bCs/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роботи на цьому джерелі робились таким чином, щоб викиди в атмосферу та/або запах не призводили до суттєвих незручностей за межами об’єкту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 всім неорганізованим джерелам викидів не повинно бути перевищено кількість та потужність використовуваного устаткування та технічних засобів.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неорганізованих джерел </w:t>
      </w:r>
      <w:r>
        <w:rPr>
          <w:sz w:val="26"/>
          <w:szCs w:val="26"/>
          <w:lang w:val="uk-UA"/>
        </w:rPr>
        <w:t xml:space="preserve">викидів не повинно бути перевищено кількість та потужність використовуваного устаткування та технічних засобів. Не повинно бути перевищено кількість використовуваної сировини, що призводить до утворення та викидів забруднюючих речовин в атмосферне повітря.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Суворо дотримуватись правил пожежної безпеки, приймати превентивні заходи щодо попередження аварійних ситуацій, що можуть призвести до забруднення навколишнього природного середовища.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Своєчасно проводити профілактичний, плановий та поточний ремонти технологічного обладнання для оптимізації технологічного процесу.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Проводити роботи відповідно до технологічного регламенту, на сертифікованому обладнанні у суворо відведених для цього місцях та з використанням палива, сертифікованого в Україні.</w:t>
      </w:r>
      <w:r>
        <w:rPr>
          <w:sz w:val="26"/>
          <w:szCs w:val="26"/>
          <w:lang w:val="uk-UA"/>
        </w:rPr>
      </w:r>
    </w:p>
    <w:p>
      <w:pPr>
        <w:pStyle w:val="713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  <w:r>
        <w:rPr>
          <w:b/>
          <w:sz w:val="26"/>
          <w:szCs w:val="26"/>
          <w:lang w:val="uk-UA"/>
        </w:rPr>
      </w:r>
    </w:p>
    <w:p>
      <w:pPr>
        <w:pStyle w:val="713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Джерела залпових викидів забруднюючих речовин на об’єкті відсутні.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4) Комплекс заходів із запобігання виникненню надзвичайних ситуацій, спрямованих на регулювання техногенної та природної безпеки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надсилати повідомлення, як по телефону, так і електронною поштою до Департаменту та Державної екологічної інспекції у </w:t>
      </w:r>
      <w:r>
        <w:rPr>
          <w:sz w:val="26"/>
          <w:szCs w:val="26"/>
          <w:lang w:val="uk-UA"/>
        </w:rPr>
        <w:t xml:space="preserve">Чернігівській області (далі – Інспекція) як можливо скоріше, після того, як відбувається щось з наступного:</w:t>
      </w:r>
      <w:r>
        <w:rPr>
          <w:sz w:val="26"/>
          <w:szCs w:val="26"/>
          <w:lang w:val="uk-UA"/>
        </w:rPr>
      </w:r>
    </w:p>
    <w:p>
      <w:pPr>
        <w:pStyle w:val="721"/>
        <w:numPr>
          <w:ilvl w:val="0"/>
          <w:numId w:val="12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будь-який викид, який не відповідає вимогам Дозволу;</w:t>
      </w:r>
      <w:r>
        <w:rPr>
          <w:sz w:val="26"/>
          <w:szCs w:val="26"/>
          <w:lang w:val="uk-UA"/>
        </w:rPr>
      </w:r>
    </w:p>
    <w:p>
      <w:pPr>
        <w:pStyle w:val="721"/>
        <w:numPr>
          <w:ilvl w:val="0"/>
          <w:numId w:val="12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будь-яка аварія може створити загрозу забруднення повітря або може потребу</w:t>
      </w:r>
      <w:r>
        <w:rPr>
          <w:sz w:val="26"/>
          <w:szCs w:val="26"/>
          <w:lang w:val="uk-UA"/>
        </w:rPr>
        <w:t xml:space="preserve">вати екстрених заходів реагування. У повідомленні суб’єкт господарювання повинен вказати дату та час такої аварії, привести докладну інформацію про те, що сталося та заходи, прийняті для мінімізації викидів і для попередження подібних аварій в майбутньому.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документально фі</w:t>
      </w:r>
      <w:r>
        <w:rPr>
          <w:sz w:val="26"/>
          <w:szCs w:val="26"/>
          <w:lang w:val="uk-UA"/>
        </w:rPr>
        <w:t xml:space="preserve">ксувати будь-які аварії, що трапились на об’єкті. В повідомленні, яке надається Департаменту та Інспекції, повинна наводитися докладна інформація про обставини, які призвели до аварії та про всі прийняті дії для мінімізації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</w:t>
      </w:r>
      <w:r>
        <w:rPr>
          <w:sz w:val="26"/>
          <w:szCs w:val="26"/>
          <w:lang w:val="uk-UA"/>
        </w:rPr>
        <w:t xml:space="preserve"> про зафіксовані аварії за довільною формою повинен надаватися Департаменту, як складова частина звіту щодо виконання плану природоохоронних заходів за рік. Наведена у такому звіті інформація повинна готуватися у відповідності з затвердженими інструкціями.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забезпечити, щоб відповідальна за природоохоронну діяльність особа, призначена наказом по підприємству, була доступна на об’єкті в будь-який час, коли відбувається вказана діяльність.</w:t>
      </w:r>
      <w:r>
        <w:rPr>
          <w:sz w:val="26"/>
          <w:szCs w:val="26"/>
          <w:lang w:val="uk-UA"/>
        </w:rPr>
      </w:r>
    </w:p>
    <w:p>
      <w:pPr>
        <w:pStyle w:val="774"/>
        <w:pBdr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Суб’єкт господарювання повинен ввести в дію та підтримати в дії Систему управління охороною навколишнім природним середовищем, як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 відповідає потребам даного Дозволу.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технологій, більш чистих виробничих процесів та для мінімізації викидів.</w:t>
      </w:r>
      <w:r>
        <w:rPr>
          <w:rFonts w:ascii="Times New Roman" w:hAnsi="Times New Roman" w:cs="Times New Roman"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ввести в дію і</w:t>
      </w:r>
      <w:r>
        <w:rPr>
          <w:sz w:val="26"/>
          <w:szCs w:val="26"/>
          <w:lang w:val="uk-UA"/>
        </w:rPr>
        <w:t xml:space="preserve"> підтримати в дії процедури для визначення необхідних сфер підготовки персоналу для всіх співробітників, робота яких може здійснити суттєвий вплив на забруднення атмосферного повітря. Повинна підтримуватися відповідна документація про підготовку персоналу.</w:t>
      </w:r>
      <w:r>
        <w:rPr>
          <w:bCs/>
          <w:sz w:val="26"/>
          <w:szCs w:val="26"/>
          <w:u w:val="single"/>
          <w:lang w:val="uk-UA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Antiqua">
    <w:panose1 w:val="020B0603030804020204"/>
  </w:font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MS PGothic">
    <w:panose1 w:val="020B060402020209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65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12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78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77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9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1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3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5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7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9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1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36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0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24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29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2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6">
    <w:lvl w:ilvl="0">
      <w:isLgl w:val="false"/>
      <w:lvlJc w:val="left"/>
      <w:lvlText w:val="-"/>
      <w:numFmt w:val="bullet"/>
      <w:pPr>
        <w:pBdr/>
        <w:spacing/>
        <w:ind w:hanging="360" w:left="11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9"/>
      </w:pPr>
      <w:rPr>
        <w:rFonts w:hint="default" w:ascii="Wingdings" w:hAnsi="Wingdings"/>
      </w:rPr>
      <w:start w:val="1"/>
      <w:suff w:val="tab"/>
    </w:lvl>
  </w:abstractNum>
  <w:abstractNum w:abstractNumId="37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22"/>
  </w:num>
  <w:num w:numId="5">
    <w:abstractNumId w:val="0"/>
  </w:num>
  <w:num w:numId="6">
    <w:abstractNumId w:val="30"/>
  </w:num>
  <w:num w:numId="7">
    <w:abstractNumId w:val="14"/>
  </w:num>
  <w:num w:numId="8">
    <w:abstractNumId w:val="21"/>
  </w:num>
  <w:num w:numId="9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2"/>
  </w:num>
  <w:num w:numId="15">
    <w:abstractNumId w:val="33"/>
  </w:num>
  <w:num w:numId="16">
    <w:abstractNumId w:val="15"/>
  </w:num>
  <w:num w:numId="17">
    <w:abstractNumId w:val="31"/>
  </w:num>
  <w:num w:numId="18">
    <w:abstractNumId w:val="23"/>
  </w:num>
  <w:num w:numId="19">
    <w:abstractNumId w:val="1"/>
  </w:num>
  <w:num w:numId="20">
    <w:abstractNumId w:val="3"/>
  </w:num>
  <w:num w:numId="21">
    <w:abstractNumId w:val="10"/>
  </w:num>
  <w:num w:numId="22">
    <w:abstractNumId w:val="36"/>
  </w:num>
  <w:num w:numId="23">
    <w:abstractNumId w:val="37"/>
  </w:num>
  <w:num w:numId="24">
    <w:abstractNumId w:val="25"/>
  </w:num>
  <w:num w:numId="25">
    <w:abstractNumId w:val="28"/>
  </w:num>
  <w:num w:numId="26">
    <w:abstractNumId w:val="19"/>
  </w:num>
  <w:num w:numId="27">
    <w:abstractNumId w:val="24"/>
  </w:num>
  <w:num w:numId="28">
    <w:abstractNumId w:val="17"/>
  </w:num>
  <w:num w:numId="29">
    <w:abstractNumId w:val="9"/>
  </w:num>
  <w:num w:numId="30">
    <w:abstractNumId w:val="2"/>
  </w:num>
  <w:num w:numId="31">
    <w:abstractNumId w:val="20"/>
  </w:num>
  <w:num w:numId="32">
    <w:abstractNumId w:val="7"/>
  </w:num>
  <w:num w:numId="33">
    <w:abstractNumId w:val="34"/>
  </w:num>
  <w:num w:numId="34">
    <w:abstractNumId w:val="27"/>
  </w:num>
  <w:num w:numId="35">
    <w:abstractNumId w:val="35"/>
  </w:num>
  <w:num w:numId="36">
    <w:abstractNumId w:val="6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05"/>
    <w:next w:val="70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705"/>
    <w:next w:val="70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5"/>
    <w:next w:val="70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5"/>
    <w:next w:val="70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5"/>
    <w:next w:val="70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5"/>
    <w:next w:val="70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5"/>
    <w:next w:val="70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5"/>
    <w:next w:val="70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5"/>
    <w:next w:val="70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5"/>
    <w:next w:val="70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67"/>
    <w:uiPriority w:val="99"/>
    <w:pPr>
      <w:pBdr/>
      <w:spacing/>
      <w:ind/>
    </w:pPr>
  </w:style>
  <w:style w:type="character" w:styleId="178">
    <w:name w:val="Footer Char"/>
    <w:basedOn w:val="708"/>
    <w:link w:val="769"/>
    <w:uiPriority w:val="99"/>
    <w:pPr>
      <w:pBdr/>
      <w:spacing/>
      <w:ind/>
    </w:pPr>
  </w:style>
  <w:style w:type="paragraph" w:styleId="179">
    <w:name w:val="Caption"/>
    <w:basedOn w:val="705"/>
    <w:next w:val="7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5"/>
    <w:next w:val="705"/>
    <w:uiPriority w:val="99"/>
    <w:unhideWhenUsed/>
    <w:pPr>
      <w:pBdr/>
      <w:spacing w:after="0" w:afterAutospacing="0"/>
      <w:ind/>
    </w:pPr>
  </w:style>
  <w:style w:type="paragraph" w:styleId="705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>
    <w:name w:val="Heading 1"/>
    <w:basedOn w:val="705"/>
    <w:link w:val="711"/>
    <w:uiPriority w:val="9"/>
    <w:qFormat/>
    <w:pPr>
      <w:pBdr/>
      <w:spacing w:after="100" w:afterAutospacing="1" w:before="100" w:beforeAutospacing="1"/>
      <w:ind/>
      <w:outlineLvl w:val="0"/>
    </w:pPr>
    <w:rPr>
      <w:b/>
      <w:bCs/>
      <w:sz w:val="48"/>
      <w:szCs w:val="48"/>
    </w:rPr>
  </w:style>
  <w:style w:type="paragraph" w:styleId="707">
    <w:name w:val="Heading 3"/>
    <w:basedOn w:val="705"/>
    <w:next w:val="705"/>
    <w:link w:val="712"/>
    <w:uiPriority w:val="9"/>
    <w:semiHidden/>
    <w:unhideWhenUsed/>
    <w:qFormat/>
    <w:pPr>
      <w:keepNext w:val="true"/>
      <w:keepLines w:val="true"/>
      <w:pBdr/>
      <w:spacing w:before="40"/>
      <w:ind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12" w:customStyle="1">
    <w:name w:val="Заголовок 3 Знак"/>
    <w:basedOn w:val="708"/>
    <w:link w:val="70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paragraph" w:styleId="713">
    <w:name w:val="List Paragraph"/>
    <w:basedOn w:val="705"/>
    <w:link w:val="736"/>
    <w:uiPriority w:val="34"/>
    <w:qFormat/>
    <w:pPr>
      <w:pBdr/>
      <w:spacing/>
      <w:ind w:left="720"/>
      <w:contextualSpacing w:val="true"/>
    </w:pPr>
  </w:style>
  <w:style w:type="paragraph" w:styleId="714">
    <w:name w:val="Block Text"/>
    <w:basedOn w:val="705"/>
    <w:pPr>
      <w:pBdr/>
      <w:spacing/>
      <w:ind w:right="1460" w:left="1134"/>
      <w:jc w:val="both"/>
    </w:pPr>
    <w:rPr>
      <w:b/>
      <w:szCs w:val="20"/>
      <w:lang w:val="uk-UA"/>
    </w:rPr>
  </w:style>
  <w:style w:type="paragraph" w:styleId="715">
    <w:name w:val="Balloon Text"/>
    <w:basedOn w:val="705"/>
    <w:link w:val="71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basedOn w:val="708"/>
    <w:link w:val="715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table" w:styleId="717">
    <w:name w:val="Table Grid"/>
    <w:basedOn w:val="70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8">
    <w:name w:val="Normal (Web)"/>
    <w:basedOn w:val="705"/>
    <w:uiPriority w:val="99"/>
    <w:unhideWhenUsed/>
    <w:pPr>
      <w:pBdr/>
      <w:spacing w:after="100" w:afterAutospacing="1" w:before="100" w:beforeAutospacing="1"/>
      <w:ind/>
    </w:pPr>
  </w:style>
  <w:style w:type="character" w:styleId="719" w:customStyle="1">
    <w:name w:val="Основной текст (2)_"/>
    <w:link w:val="720"/>
    <w:pPr>
      <w:pBdr/>
      <w:spacing/>
      <w:ind/>
    </w:pPr>
    <w:rPr>
      <w:shd w:val="clear" w:color="auto" w:fill="ffffff"/>
    </w:rPr>
  </w:style>
  <w:style w:type="paragraph" w:styleId="720" w:customStyle="1">
    <w:name w:val="Основной текст (2)1"/>
    <w:basedOn w:val="705"/>
    <w:link w:val="719"/>
    <w:pPr>
      <w:widowControl w:val="false"/>
      <w:pBdr/>
      <w:shd w:val="clear" w:color="auto" w:fill="ffffff"/>
      <w:spacing w:line="264" w:lineRule="exact"/>
      <w:ind w:hanging="540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721" w:customStyle="1">
    <w:name w:val="rvps2"/>
    <w:basedOn w:val="705"/>
    <w:pPr>
      <w:pBdr/>
      <w:spacing w:after="100" w:afterAutospacing="1" w:before="100" w:beforeAutospacing="1"/>
      <w:ind/>
    </w:pPr>
  </w:style>
  <w:style w:type="character" w:styleId="722" w:customStyle="1">
    <w:name w:val="Основной текст_"/>
    <w:link w:val="723"/>
    <w:pPr>
      <w:pBdr/>
      <w:spacing/>
      <w:ind/>
    </w:pPr>
    <w:rPr>
      <w:shd w:val="clear" w:color="auto" w:fill="ffffff"/>
    </w:rPr>
  </w:style>
  <w:style w:type="paragraph" w:styleId="723" w:customStyle="1">
    <w:name w:val="Основной текст1"/>
    <w:basedOn w:val="705"/>
    <w:link w:val="722"/>
    <w:pPr>
      <w:widowControl w:val="false"/>
      <w:pBdr/>
      <w:shd w:val="clear" w:color="auto" w:fill="ffffff"/>
      <w:spacing w:line="317" w:lineRule="exact"/>
      <w:ind w:firstLine="600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24" w:customStyle="1">
    <w:name w:val="apple-converted-space"/>
    <w:pPr>
      <w:pBdr/>
      <w:spacing/>
      <w:ind/>
    </w:pPr>
  </w:style>
  <w:style w:type="character" w:styleId="725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726" w:customStyle="1">
    <w:name w:val="activity-counter-item"/>
    <w:basedOn w:val="705"/>
    <w:pPr>
      <w:pBdr/>
      <w:spacing w:after="100" w:afterAutospacing="1" w:before="100" w:beforeAutospacing="1"/>
      <w:ind/>
    </w:pPr>
  </w:style>
  <w:style w:type="character" w:styleId="727" w:customStyle="1">
    <w:name w:val="activity-counter-item-text"/>
    <w:basedOn w:val="708"/>
    <w:pPr>
      <w:pBdr/>
      <w:spacing/>
      <w:ind/>
    </w:pPr>
  </w:style>
  <w:style w:type="character" w:styleId="728" w:customStyle="1">
    <w:name w:val="activity-counter-item-blue"/>
    <w:basedOn w:val="708"/>
    <w:pPr>
      <w:pBdr/>
      <w:spacing/>
      <w:ind/>
    </w:pPr>
  </w:style>
  <w:style w:type="character" w:styleId="729" w:customStyle="1">
    <w:name w:val="Основной текст + 10 pt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uk-UA"/>
    </w:rPr>
  </w:style>
  <w:style w:type="character" w:styleId="730" w:customStyle="1">
    <w:name w:val="Основной текст (4)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uk-UA"/>
    </w:rPr>
  </w:style>
  <w:style w:type="character" w:styleId="731" w:customStyle="1">
    <w:name w:val="Основной текст + Курсив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uk-UA"/>
    </w:rPr>
  </w:style>
  <w:style w:type="character" w:styleId="732" w:customStyle="1">
    <w:name w:val="Основной текст + Полужирный;Курсив"/>
    <w:pPr>
      <w:pBdr/>
      <w:spacing/>
      <w:ind/>
    </w:pPr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uk-UA"/>
    </w:rPr>
  </w:style>
  <w:style w:type="character" w:styleId="733" w:customStyle="1">
    <w:name w:val="Основной текст + 4 pt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</w:rPr>
  </w:style>
  <w:style w:type="paragraph" w:styleId="734" w:customStyle="1">
    <w:name w:val="Основной текст2"/>
    <w:basedOn w:val="705"/>
    <w:pPr>
      <w:widowControl w:val="false"/>
      <w:pBdr/>
      <w:shd w:val="clear" w:color="auto" w:fill="ffffff"/>
      <w:spacing w:line="0" w:lineRule="atLeast"/>
      <w:ind w:hanging="880"/>
    </w:pPr>
    <w:rPr>
      <w:color w:val="000000"/>
      <w:lang w:val="uk-UA"/>
    </w:rPr>
  </w:style>
  <w:style w:type="paragraph" w:styleId="735" w:customStyle="1">
    <w:name w:val="Основной текст3"/>
    <w:basedOn w:val="705"/>
    <w:pPr>
      <w:widowControl w:val="false"/>
      <w:pBdr/>
      <w:shd w:val="clear" w:color="auto" w:fill="ffffff"/>
      <w:spacing w:after="60" w:before="60" w:line="0" w:lineRule="atLeast"/>
      <w:ind w:hanging="720"/>
    </w:pPr>
    <w:rPr>
      <w:color w:val="000000"/>
      <w:sz w:val="25"/>
      <w:szCs w:val="25"/>
      <w:lang w:val="uk-UA"/>
    </w:rPr>
  </w:style>
  <w:style w:type="character" w:styleId="736" w:customStyle="1">
    <w:name w:val="Абзац списка Знак"/>
    <w:link w:val="713"/>
    <w:uiPriority w:val="34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 w:customStyle="1">
    <w:name w:val="WW-Основной текст 31"/>
    <w:basedOn w:val="705"/>
    <w:pPr>
      <w:widowControl w:val="false"/>
      <w:pBdr/>
      <w:spacing/>
      <w:ind/>
      <w:jc w:val="both"/>
    </w:pPr>
    <w:rPr>
      <w:sz w:val="28"/>
      <w:szCs w:val="20"/>
      <w:lang w:val="uk-UA"/>
    </w:rPr>
  </w:style>
  <w:style w:type="paragraph" w:styleId="738">
    <w:name w:val="HTML Preformatted"/>
    <w:basedOn w:val="705"/>
    <w:link w:val="739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character" w:styleId="739" w:customStyle="1">
    <w:name w:val="Стандартный HTML Знак"/>
    <w:basedOn w:val="708"/>
    <w:link w:val="738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40" w:customStyle="1">
    <w:name w:val="y2iqfc"/>
    <w:basedOn w:val="708"/>
    <w:pPr>
      <w:pBdr/>
      <w:spacing/>
      <w:ind/>
    </w:pPr>
  </w:style>
  <w:style w:type="character" w:styleId="741">
    <w:name w:val="Placeholder Text"/>
    <w:basedOn w:val="708"/>
    <w:uiPriority w:val="99"/>
    <w:semiHidden/>
    <w:pPr>
      <w:pBdr/>
      <w:spacing/>
      <w:ind/>
    </w:pPr>
    <w:rPr>
      <w:color w:val="808080"/>
    </w:rPr>
  </w:style>
  <w:style w:type="character" w:styleId="742">
    <w:name w:val="annotation reference"/>
    <w:basedOn w:val="70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43">
    <w:name w:val="annotation text"/>
    <w:basedOn w:val="705"/>
    <w:link w:val="744"/>
    <w:unhideWhenUsed/>
    <w:pPr>
      <w:pBdr/>
      <w:spacing/>
      <w:ind/>
    </w:pPr>
    <w:rPr>
      <w:sz w:val="20"/>
      <w:szCs w:val="20"/>
    </w:rPr>
  </w:style>
  <w:style w:type="character" w:styleId="744" w:customStyle="1">
    <w:name w:val="Текст примечания Знак"/>
    <w:basedOn w:val="708"/>
    <w:link w:val="743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5">
    <w:name w:val="annotation subject"/>
    <w:basedOn w:val="743"/>
    <w:next w:val="743"/>
    <w:link w:val="746"/>
    <w:uiPriority w:val="99"/>
    <w:semiHidden/>
    <w:unhideWhenUsed/>
    <w:pPr>
      <w:pBdr/>
      <w:spacing/>
      <w:ind/>
    </w:pPr>
    <w:rPr>
      <w:b/>
      <w:bCs/>
    </w:rPr>
  </w:style>
  <w:style w:type="character" w:styleId="746" w:customStyle="1">
    <w:name w:val="Тема примечания Знак"/>
    <w:basedOn w:val="744"/>
    <w:link w:val="745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47">
    <w:name w:val="Body Text Indent"/>
    <w:basedOn w:val="705"/>
    <w:link w:val="748"/>
    <w:pPr>
      <w:widowControl w:val="false"/>
      <w:pBdr/>
      <w:tabs>
        <w:tab w:val="left" w:leader="none" w:pos="144"/>
        <w:tab w:val="left" w:leader="none" w:pos="576"/>
      </w:tabs>
      <w:spacing w:line="360" w:lineRule="auto"/>
      <w:ind w:firstLine="567"/>
      <w:jc w:val="both"/>
    </w:pPr>
    <w:rPr>
      <w:sz w:val="28"/>
      <w:szCs w:val="20"/>
    </w:rPr>
  </w:style>
  <w:style w:type="character" w:styleId="748" w:customStyle="1">
    <w:name w:val="Основной текст с отступом Знак"/>
    <w:basedOn w:val="708"/>
    <w:link w:val="747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9">
    <w:name w:val="Body Text 3"/>
    <w:basedOn w:val="705"/>
    <w:link w:val="750"/>
    <w:uiPriority w:val="99"/>
    <w:semiHidden/>
    <w:unhideWhenUsed/>
    <w:pPr>
      <w:pBdr/>
      <w:spacing w:after="120" w:line="276" w:lineRule="auto"/>
      <w:ind/>
    </w:pPr>
    <w:rPr>
      <w:rFonts w:ascii="Calibri" w:hAnsi="Calibri" w:eastAsia="Calibri"/>
      <w:sz w:val="16"/>
      <w:szCs w:val="16"/>
    </w:rPr>
  </w:style>
  <w:style w:type="character" w:styleId="750" w:customStyle="1">
    <w:name w:val="Основной текст 3 Знак"/>
    <w:basedOn w:val="708"/>
    <w:link w:val="749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51">
    <w:name w:val="Body Text"/>
    <w:basedOn w:val="705"/>
    <w:link w:val="752"/>
    <w:unhideWhenUsed/>
    <w:pPr>
      <w:pBdr/>
      <w:spacing w:after="120" w:line="276" w:lineRule="auto"/>
      <w:ind/>
    </w:pPr>
    <w:rPr>
      <w:rFonts w:ascii="Calibri" w:hAnsi="Calibri" w:eastAsia="Calibri"/>
      <w:lang w:val="uk-UA"/>
    </w:rPr>
  </w:style>
  <w:style w:type="character" w:styleId="752" w:customStyle="1">
    <w:name w:val="Основной текст Знак"/>
    <w:basedOn w:val="708"/>
    <w:link w:val="751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53">
    <w:name w:val="Body Text 2"/>
    <w:basedOn w:val="705"/>
    <w:link w:val="754"/>
    <w:uiPriority w:val="99"/>
    <w:semiHidden/>
    <w:unhideWhenUsed/>
    <w:pPr>
      <w:pBdr/>
      <w:spacing w:after="120" w:line="480" w:lineRule="auto"/>
      <w:ind/>
    </w:pPr>
    <w:rPr>
      <w:rFonts w:ascii="Calibri" w:hAnsi="Calibri" w:eastAsia="Calibri"/>
      <w:lang w:val="uk-UA"/>
    </w:rPr>
  </w:style>
  <w:style w:type="character" w:styleId="754" w:customStyle="1">
    <w:name w:val="Основной текст 2 Знак"/>
    <w:basedOn w:val="708"/>
    <w:link w:val="753"/>
    <w:uiPriority w:val="99"/>
    <w:semiHidden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55">
    <w:name w:val="Body Text Indent 3"/>
    <w:basedOn w:val="705"/>
    <w:link w:val="756"/>
    <w:uiPriority w:val="99"/>
    <w:semiHidden/>
    <w:unhideWhenUsed/>
    <w:pPr>
      <w:pBdr/>
      <w:spacing w:after="120" w:line="276" w:lineRule="auto"/>
      <w:ind w:left="283"/>
    </w:pPr>
    <w:rPr>
      <w:rFonts w:ascii="Calibri" w:hAnsi="Calibri" w:eastAsia="Calibri"/>
      <w:sz w:val="16"/>
      <w:szCs w:val="16"/>
    </w:rPr>
  </w:style>
  <w:style w:type="character" w:styleId="756" w:customStyle="1">
    <w:name w:val="Основной текст с отступом 3 Знак"/>
    <w:basedOn w:val="708"/>
    <w:link w:val="755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57">
    <w:name w:val="Plain Text"/>
    <w:basedOn w:val="705"/>
    <w:link w:val="758"/>
    <w:uiPriority w:val="99"/>
    <w:pPr>
      <w:pBdr/>
      <w:spacing/>
      <w:ind/>
    </w:pPr>
    <w:rPr>
      <w:rFonts w:ascii="Courier New" w:hAnsi="Courier New"/>
      <w:sz w:val="20"/>
      <w:szCs w:val="20"/>
    </w:rPr>
  </w:style>
  <w:style w:type="character" w:styleId="758" w:customStyle="1">
    <w:name w:val="Текст Знак"/>
    <w:basedOn w:val="708"/>
    <w:link w:val="757"/>
    <w:uiPriority w:val="99"/>
    <w:pPr>
      <w:pBdr/>
      <w:spacing/>
      <w:ind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59" w:customStyle="1">
    <w:name w:val="WW-Основной текст 2"/>
    <w:basedOn w:val="705"/>
    <w:pPr>
      <w:widowControl w:val="false"/>
      <w:pBdr/>
      <w:tabs>
        <w:tab w:val="left" w:leader="none" w:pos="576"/>
      </w:tabs>
      <w:spacing w:line="480" w:lineRule="atLeast"/>
      <w:ind/>
      <w:jc w:val="both"/>
    </w:pPr>
    <w:rPr>
      <w:position w:val="2"/>
      <w:szCs w:val="20"/>
    </w:rPr>
  </w:style>
  <w:style w:type="paragraph" w:styleId="760">
    <w:name w:val="Body Text First Indent"/>
    <w:basedOn w:val="751"/>
    <w:link w:val="761"/>
    <w:uiPriority w:val="99"/>
    <w:unhideWhenUsed/>
    <w:pPr>
      <w:pBdr/>
      <w:spacing w:after="200"/>
      <w:ind w:firstLine="360"/>
    </w:pPr>
  </w:style>
  <w:style w:type="character" w:styleId="761" w:customStyle="1">
    <w:name w:val="Красная строка Знак"/>
    <w:basedOn w:val="752"/>
    <w:link w:val="760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62" w:customStyle="1">
    <w:name w:val="Equation"/>
    <w:basedOn w:val="705"/>
    <w:next w:val="705"/>
    <w:pPr>
      <w:pBdr/>
      <w:tabs>
        <w:tab w:val="left" w:leader="none" w:pos="8902"/>
      </w:tabs>
      <w:spacing w:after="120"/>
      <w:ind w:left="284"/>
    </w:pPr>
    <w:rPr>
      <w:szCs w:val="20"/>
      <w:lang w:val="uk-UA"/>
    </w:rPr>
  </w:style>
  <w:style w:type="paragraph" w:styleId="763" w:customStyle="1">
    <w:name w:val="Specification First"/>
    <w:basedOn w:val="705"/>
    <w:pPr>
      <w:pBdr/>
      <w:tabs>
        <w:tab w:val="left" w:leader="none" w:pos="1134"/>
      </w:tabs>
      <w:spacing w:line="360" w:lineRule="auto"/>
      <w:ind w:hanging="1332" w:left="1332"/>
    </w:pPr>
    <w:rPr>
      <w:szCs w:val="20"/>
      <w:lang w:val="uk-UA"/>
    </w:rPr>
  </w:style>
  <w:style w:type="paragraph" w:styleId="764" w:customStyle="1">
    <w:name w:val="Specification Next"/>
    <w:basedOn w:val="705"/>
    <w:pPr>
      <w:pBdr/>
      <w:tabs>
        <w:tab w:val="left" w:leader="none" w:pos="1134"/>
      </w:tabs>
      <w:spacing w:line="360" w:lineRule="auto"/>
      <w:ind w:hanging="1049" w:left="1333"/>
    </w:pPr>
    <w:rPr>
      <w:szCs w:val="20"/>
      <w:lang w:val="uk-UA"/>
    </w:rPr>
  </w:style>
  <w:style w:type="paragraph" w:styleId="765">
    <w:name w:val="List Bullet"/>
    <w:basedOn w:val="705"/>
    <w:uiPriority w:val="99"/>
    <w:unhideWhenUsed/>
    <w:pPr>
      <w:numPr>
        <w:numId w:val="5"/>
      </w:numPr>
      <w:pBdr/>
      <w:spacing w:after="200" w:line="276" w:lineRule="auto"/>
      <w:ind/>
      <w:contextualSpacing w:val="true"/>
    </w:pPr>
    <w:rPr>
      <w:rFonts w:ascii="Calibri" w:hAnsi="Calibri" w:eastAsia="Calibri"/>
      <w:lang w:val="uk-UA"/>
    </w:rPr>
  </w:style>
  <w:style w:type="paragraph" w:styleId="766" w:customStyle="1">
    <w:name w:val="Текст примечания1"/>
    <w:basedOn w:val="705"/>
    <w:pPr>
      <w:pBdr/>
      <w:spacing/>
      <w:ind/>
    </w:pPr>
    <w:rPr>
      <w:sz w:val="28"/>
      <w:szCs w:val="20"/>
      <w:lang w:eastAsia="zh-CN"/>
    </w:rPr>
  </w:style>
  <w:style w:type="paragraph" w:styleId="767">
    <w:name w:val="Header"/>
    <w:basedOn w:val="705"/>
    <w:link w:val="76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lang w:val="uk-UA"/>
    </w:rPr>
  </w:style>
  <w:style w:type="character" w:styleId="768" w:customStyle="1">
    <w:name w:val="Верхний колонтитул Знак"/>
    <w:basedOn w:val="708"/>
    <w:link w:val="767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69">
    <w:name w:val="Footer"/>
    <w:basedOn w:val="705"/>
    <w:link w:val="77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lang w:val="uk-UA"/>
    </w:rPr>
  </w:style>
  <w:style w:type="character" w:styleId="770" w:customStyle="1">
    <w:name w:val="Нижний колонтитул Знак"/>
    <w:basedOn w:val="708"/>
    <w:link w:val="769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71" w:customStyle="1">
    <w:name w:val="Нормальний текст"/>
    <w:basedOn w:val="705"/>
    <w:pPr>
      <w:pBdr/>
      <w:spacing w:before="120"/>
      <w:ind w:firstLine="567"/>
    </w:pPr>
    <w:rPr>
      <w:rFonts w:ascii="Antiqua" w:hAnsi="Antiqua" w:eastAsia="SimSun"/>
      <w:sz w:val="26"/>
      <w:szCs w:val="20"/>
      <w:lang w:val="uk-UA"/>
    </w:rPr>
  </w:style>
  <w:style w:type="character" w:styleId="772" w:customStyle="1">
    <w:name w:val="Основний текст (2) + 11"/>
    <w:pPr>
      <w:pBdr/>
      <w:spacing/>
      <w:ind/>
    </w:pPr>
    <w:rPr>
      <w:sz w:val="23"/>
      <w:shd w:val="clear" w:color="auto" w:fill="ffffff"/>
    </w:rPr>
  </w:style>
  <w:style w:type="character" w:styleId="773" w:customStyle="1">
    <w:name w:val="Body text|1_"/>
    <w:link w:val="774"/>
    <w:pPr>
      <w:pBdr/>
      <w:spacing/>
      <w:ind/>
    </w:pPr>
    <w:rPr>
      <w:shd w:val="clear" w:color="auto" w:fill="ffffff"/>
    </w:rPr>
  </w:style>
  <w:style w:type="paragraph" w:styleId="774" w:customStyle="1">
    <w:name w:val="Body text|1"/>
    <w:basedOn w:val="705"/>
    <w:link w:val="773"/>
    <w:pPr>
      <w:widowControl w:val="false"/>
      <w:pBdr/>
      <w:shd w:val="clear" w:color="auto" w:fill="ffffff"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75">
    <w:name w:val="Title"/>
    <w:basedOn w:val="705"/>
    <w:link w:val="776"/>
    <w:qFormat/>
    <w:pPr>
      <w:pBdr/>
      <w:spacing/>
      <w:ind/>
      <w:jc w:val="center"/>
    </w:pPr>
    <w:rPr>
      <w:b/>
      <w:sz w:val="28"/>
      <w:szCs w:val="20"/>
      <w:lang w:val="uk-UA"/>
    </w:rPr>
  </w:style>
  <w:style w:type="character" w:styleId="776" w:customStyle="1">
    <w:name w:val="Заголовок Знак"/>
    <w:basedOn w:val="708"/>
    <w:link w:val="77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val="uk-UA"/>
    </w:rPr>
  </w:style>
  <w:style w:type="paragraph" w:styleId="777" w:customStyle="1">
    <w:name w:val="Текст в заданном формате"/>
    <w:basedOn w:val="705"/>
    <w:pPr>
      <w:widowControl w:val="false"/>
      <w:pBdr/>
      <w:spacing/>
      <w:ind/>
    </w:pPr>
    <w:rPr>
      <w:rFonts w:ascii="Courier New" w:hAnsi="Courier New" w:eastAsia="MS PGothic" w:cs="Courier New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ua-referat.com/%D0%9F%D1%80%D0%BE%D1%86%D0%B5%D1%81" TargetMode="External"/><Relationship Id="rId10" Type="http://schemas.openxmlformats.org/officeDocument/2006/relationships/hyperlink" Target="https://ua-referat.com/%D0%9A%D0%BE%D0%BD%D1%82%D1%80%D0%BE%D0%BB%D1%8C" TargetMode="External"/><Relationship Id="rId11" Type="http://schemas.openxmlformats.org/officeDocument/2006/relationships/hyperlink" Target="https://ua-referat.com/%D0%9C%D0%B5%D1%85%D0%B0%D0%BD%D1%96%D0%B7%D0%BC%D1%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Anonymous</cp:lastModifiedBy>
  <cp:revision>2</cp:revision>
  <dcterms:created xsi:type="dcterms:W3CDTF">2024-09-18T14:19:00Z</dcterms:created>
  <dcterms:modified xsi:type="dcterms:W3CDTF">2024-09-23T12:00:45Z</dcterms:modified>
</cp:coreProperties>
</file>